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48"/>
          <w:szCs w:val="48"/>
        </w:rPr>
      </w:pPr>
      <w:r w:rsidDel="00000000" w:rsidR="00000000" w:rsidRPr="00000000">
        <w:rPr>
          <w:rFonts w:ascii="Arial" w:cs="Arial" w:eastAsia="Arial" w:hAnsi="Arial"/>
          <w:b w:val="1"/>
          <w:sz w:val="48"/>
          <w:szCs w:val="48"/>
          <w:rtl w:val="0"/>
        </w:rPr>
        <w:t xml:space="preserve">Wellbeing Adviser</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 Purpose</w:t>
      </w:r>
    </w:p>
    <w:p w:rsidR="00000000" w:rsidDel="00000000" w:rsidP="00000000" w:rsidRDefault="00000000" w:rsidRPr="00000000" w14:paraId="0000000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Wellbeing Adviser’s role is to work with vulnerable clients and those who are socially isolated to ascertain their needs and develop a programme of support in terms of managing their health, their finances, their home environment and their social interaction so they are more confident and able to live more fulfilled lives.</w:t>
      </w:r>
    </w:p>
    <w:p w:rsidR="00000000" w:rsidDel="00000000" w:rsidP="00000000" w:rsidRDefault="00000000" w:rsidRPr="00000000" w14:paraId="0000000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 of role</w:t>
      </w:r>
    </w:p>
    <w:p w:rsidR="00000000" w:rsidDel="00000000" w:rsidP="00000000" w:rsidRDefault="00000000" w:rsidRPr="00000000" w14:paraId="0000000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Based at our office in Camberley but operating out of community locations and carrying out home visits, you will work closely with our Independent Living Adviser and partners to take referrals from a range of stakeholders including GPs, housing associations, church groups, community groups and self-referrals.  You will assess your clients’ needs and develop a plan of support that may include advice on benefits and debt, linking to community services such as ‘Meals at Home’ and community transport and/or introductions to local community groups, activities and organisations in order to improve their mental and physical wellbeing.</w:t>
      </w:r>
    </w:p>
    <w:p w:rsidR="00000000" w:rsidDel="00000000" w:rsidP="00000000" w:rsidRDefault="00000000" w:rsidRPr="00000000" w14:paraId="00000005">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duties and responsibilities</w:t>
      </w:r>
    </w:p>
    <w:p w:rsidR="00000000" w:rsidDel="00000000" w:rsidP="00000000" w:rsidRDefault="00000000" w:rsidRPr="00000000" w14:paraId="0000000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Casework</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 and develop good relations with a range of health and social care professionals and community providers in order to promote the service.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referrals into the service and manage the service schedule.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first contact with clients and carry out an assessment using the R-Outcomes tool to identify client needs and level of engagement.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clients to develop and agree an action plan tailored to their needs.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clients are linked with appropriate support and activities relevant to their needs and support them to overcome any barriers they may face in engaging.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regular assessments and reviews and update action plan as needed.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home/outreach visits as necessary.</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advocate for the client where necessary to facilitate their engagement with groups and services.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project partners to share information as appropriate whilst maintaining client confidentiality and meeting the requirements of information assurance and GDPR.</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 client records and input information for outcomes evaluation, providing regular reports as required.</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and campaigns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statistical information and regular reports to the bureau management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service provision to ensure that it reaches the widest possible client group.</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Alert other staff to local and national issues.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gaps in community provision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development</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up to date with legislation, policies and procedures relating to local health providers and undertake appropriate training.</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Undertaken Citizens Advice adviser training to a minimum of Gateway Assessor standard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training on the R-Outcomes monitoring tool.</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relevant internal and external meetings as agreed with the line manager.</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for and attend supervision sessions/team meetings/management team meetings as required.</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with service initiatives for the improvement of services.</w:t>
      </w:r>
    </w:p>
    <w:p w:rsidR="00000000" w:rsidDel="00000000" w:rsidP="00000000" w:rsidRDefault="00000000" w:rsidRPr="00000000" w14:paraId="0000002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Administration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accurate and up-to-date case records and ensure that they conform to the bureau’s policies and procedures and the Advice Quality Standard.</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local information systems.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IT for statistical recording, record keeping and document production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up to date with policies and procedures relevant to bureau work and undertake appropriate training.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internal and external meetings as agreed with the manager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close liaison with relevant external agencies, health bodies and community services and organisations.</w:t>
      </w:r>
    </w:p>
    <w:p w:rsidR="00000000" w:rsidDel="00000000" w:rsidP="00000000" w:rsidRDefault="00000000" w:rsidRPr="00000000" w14:paraId="00000028">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relations</w:t>
      </w:r>
      <w:r w:rsidDel="00000000" w:rsidR="00000000" w:rsidRPr="00000000">
        <w:rPr>
          <w:rtl w:val="0"/>
        </w:rPr>
      </w:r>
    </w:p>
    <w:p w:rsidR="00000000" w:rsidDel="00000000" w:rsidP="00000000" w:rsidRDefault="00000000" w:rsidRPr="00000000" w14:paraId="00000029">
      <w:pPr>
        <w:widowControl w:val="0"/>
        <w:spacing w:after="0" w:line="240" w:lineRule="auto"/>
        <w:contextualSpacing w:val="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A">
      <w:pPr>
        <w:widowControl w:val="0"/>
        <w:numPr>
          <w:ilvl w:val="0"/>
          <w:numId w:val="3"/>
        </w:numPr>
        <w:spacing w:after="0" w:line="240" w:lineRule="auto"/>
        <w:ind w:left="720" w:hanging="360"/>
        <w:contextualSpacing w:val="0"/>
        <w:rPr>
          <w:sz w:val="24"/>
          <w:szCs w:val="24"/>
        </w:rPr>
      </w:pPr>
      <w:r w:rsidDel="00000000" w:rsidR="00000000" w:rsidRPr="00000000">
        <w:rPr>
          <w:rFonts w:ascii="Arial" w:cs="Arial" w:eastAsia="Arial" w:hAnsi="Arial"/>
          <w:sz w:val="24"/>
          <w:szCs w:val="24"/>
          <w:rtl w:val="0"/>
        </w:rPr>
        <w:t xml:space="preserve">Liaise with statutory and non-statutory organisations and represent the Service on outside bodies as appropriate. </w:t>
      </w:r>
    </w:p>
    <w:p w:rsidR="00000000" w:rsidDel="00000000" w:rsidP="00000000" w:rsidRDefault="00000000" w:rsidRPr="00000000" w14:paraId="0000002B">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duties and responsibilities</w:t>
      </w:r>
      <w:r w:rsidDel="00000000" w:rsidR="00000000" w:rsidRPr="00000000">
        <w:rPr>
          <w:rtl w:val="0"/>
        </w:rPr>
      </w:r>
    </w:p>
    <w:p w:rsidR="00000000" w:rsidDel="00000000" w:rsidP="00000000" w:rsidRDefault="00000000" w:rsidRPr="00000000" w14:paraId="0000002D">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numPr>
          <w:ilvl w:val="0"/>
          <w:numId w:val="2"/>
        </w:numPr>
        <w:spacing w:after="0" w:line="240" w:lineRule="auto"/>
        <w:ind w:left="720" w:hanging="360"/>
        <w:contextualSpacing w:val="0"/>
        <w:rPr>
          <w:sz w:val="24"/>
          <w:szCs w:val="24"/>
        </w:rPr>
      </w:pPr>
      <w:r w:rsidDel="00000000" w:rsidR="00000000" w:rsidRPr="00000000">
        <w:rPr>
          <w:rFonts w:ascii="Arial" w:cs="Arial" w:eastAsia="Arial" w:hAnsi="Arial"/>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14:paraId="0000002F">
      <w:pPr>
        <w:widowControl w:val="0"/>
        <w:numPr>
          <w:ilvl w:val="0"/>
          <w:numId w:val="2"/>
        </w:numPr>
        <w:spacing w:after="0" w:line="240" w:lineRule="auto"/>
        <w:ind w:left="720" w:hanging="360"/>
        <w:contextualSpacing w:val="0"/>
        <w:rPr>
          <w:sz w:val="24"/>
          <w:szCs w:val="24"/>
        </w:rPr>
      </w:pPr>
      <w:r w:rsidDel="00000000" w:rsidR="00000000" w:rsidRPr="00000000">
        <w:rPr>
          <w:rFonts w:ascii="Arial" w:cs="Arial" w:eastAsia="Arial" w:hAnsi="Arial"/>
          <w:sz w:val="24"/>
          <w:szCs w:val="24"/>
          <w:rtl w:val="0"/>
        </w:rPr>
        <w:t xml:space="preserve">Demonstrate commitment to the aims and policies of the CAB service. </w:t>
      </w:r>
    </w:p>
    <w:p w:rsidR="00000000" w:rsidDel="00000000" w:rsidP="00000000" w:rsidRDefault="00000000" w:rsidRPr="00000000" w14:paraId="00000030">
      <w:pPr>
        <w:widowControl w:val="0"/>
        <w:numPr>
          <w:ilvl w:val="0"/>
          <w:numId w:val="2"/>
        </w:numPr>
        <w:spacing w:after="0" w:line="240" w:lineRule="auto"/>
        <w:ind w:left="720" w:hanging="360"/>
        <w:contextualSpacing w:val="0"/>
        <w:rPr>
          <w:sz w:val="24"/>
          <w:szCs w:val="24"/>
        </w:rPr>
      </w:pPr>
      <w:r w:rsidDel="00000000" w:rsidR="00000000" w:rsidRPr="00000000">
        <w:rPr>
          <w:rFonts w:ascii="Arial" w:cs="Arial" w:eastAsia="Arial" w:hAnsi="Arial"/>
          <w:sz w:val="24"/>
          <w:szCs w:val="24"/>
          <w:rtl w:val="0"/>
        </w:rPr>
        <w:t xml:space="preserve">Abide by health and safety guidelines and share responsibility for own safety and that of colleagues. </w:t>
      </w:r>
    </w:p>
    <w:p w:rsidR="00000000" w:rsidDel="00000000" w:rsidP="00000000" w:rsidRDefault="00000000" w:rsidRPr="00000000" w14:paraId="00000031">
      <w:pPr>
        <w:widowControl w:val="0"/>
        <w:spacing w:after="0" w:line="240" w:lineRule="auto"/>
        <w:contextualSpacing w:val="0"/>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Person specification</w:t>
      </w:r>
      <w:r w:rsidDel="00000000" w:rsidR="00000000" w:rsidRPr="00000000">
        <w:rPr>
          <w:rtl w:val="0"/>
        </w:rPr>
      </w:r>
    </w:p>
    <w:p w:rsidR="00000000" w:rsidDel="00000000" w:rsidP="00000000" w:rsidRDefault="00000000" w:rsidRPr="00000000" w14:paraId="00000032">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Good people skills with the ability to engage, empathise, listen, empower and motivate individuals.</w:t>
      </w:r>
    </w:p>
    <w:p w:rsidR="00000000" w:rsidDel="00000000" w:rsidP="00000000" w:rsidRDefault="00000000" w:rsidRPr="00000000" w14:paraId="00000034">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with and supporting vulnerable clients</w:t>
      </w:r>
    </w:p>
    <w:p w:rsidR="00000000" w:rsidDel="00000000" w:rsidP="00000000" w:rsidRDefault="00000000" w:rsidRPr="00000000" w14:paraId="00000035">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Effective writing skills with an emphasis on preparing reviews, reports and correspondence. </w:t>
      </w:r>
    </w:p>
    <w:p w:rsidR="00000000" w:rsidDel="00000000" w:rsidP="00000000" w:rsidRDefault="00000000" w:rsidRPr="00000000" w14:paraId="00000036">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Ordered approach to casework and an ability and willingness to follow and develop agreed procedures. </w:t>
      </w:r>
    </w:p>
    <w:p w:rsidR="00000000" w:rsidDel="00000000" w:rsidP="00000000" w:rsidRDefault="00000000" w:rsidRPr="00000000" w14:paraId="00000037">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work independently and proactively</w:t>
      </w:r>
    </w:p>
    <w:p w:rsidR="00000000" w:rsidDel="00000000" w:rsidP="00000000" w:rsidRDefault="00000000" w:rsidRPr="00000000" w14:paraId="00000038">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Numerate to the level required in the tasks. </w:t>
      </w:r>
    </w:p>
    <w:p w:rsidR="00000000" w:rsidDel="00000000" w:rsidP="00000000" w:rsidRDefault="00000000" w:rsidRPr="00000000" w14:paraId="00000039">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prioritise own work, meet deadlines and manage caseload. </w:t>
      </w:r>
    </w:p>
    <w:p w:rsidR="00000000" w:rsidDel="00000000" w:rsidP="00000000" w:rsidRDefault="00000000" w:rsidRPr="00000000" w14:paraId="0000003A">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use IT in the provision of advice and the preparation of reports and submissions. </w:t>
      </w:r>
    </w:p>
    <w:p w:rsidR="00000000" w:rsidDel="00000000" w:rsidP="00000000" w:rsidRDefault="00000000" w:rsidRPr="00000000" w14:paraId="0000003B">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give and receive feedback objectively and sensitively and a willingness to challenge constructively. </w:t>
      </w:r>
    </w:p>
    <w:p w:rsidR="00000000" w:rsidDel="00000000" w:rsidP="00000000" w:rsidRDefault="00000000" w:rsidRPr="00000000" w14:paraId="0000003C">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monitor and maintain own standards. </w:t>
      </w:r>
    </w:p>
    <w:p w:rsidR="00000000" w:rsidDel="00000000" w:rsidP="00000000" w:rsidRDefault="00000000" w:rsidRPr="00000000" w14:paraId="0000003D">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willingness to undertake training where required.</w:t>
      </w:r>
    </w:p>
    <w:p w:rsidR="00000000" w:rsidDel="00000000" w:rsidP="00000000" w:rsidRDefault="00000000" w:rsidRPr="00000000" w14:paraId="0000003E">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recognise and deal with safeguarding issues, including being able to refer back to NHS services for further support.</w:t>
      </w:r>
    </w:p>
    <w:p w:rsidR="00000000" w:rsidDel="00000000" w:rsidP="00000000" w:rsidRDefault="00000000" w:rsidRPr="00000000" w14:paraId="0000003F">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and commitment to the aims and principles of the Citizens Advice service and its equality and diversity policies. </w:t>
      </w:r>
    </w:p>
    <w:p w:rsidR="00000000" w:rsidDel="00000000" w:rsidP="00000000" w:rsidRDefault="00000000" w:rsidRPr="00000000" w14:paraId="00000040">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good knowledge of welfare benefits would be an advantage.</w:t>
      </w:r>
    </w:p>
    <w:p w:rsidR="00000000" w:rsidDel="00000000" w:rsidP="00000000" w:rsidRDefault="00000000" w:rsidRPr="00000000" w14:paraId="00000041">
      <w:pPr>
        <w:widowControl w:val="0"/>
        <w:numPr>
          <w:ilvl w:val="0"/>
          <w:numId w:val="4"/>
        </w:numPr>
        <w:spacing w:after="0" w:line="240" w:lineRule="auto"/>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as a Citizens Advice Adviser is desirable but not essential.</w:t>
      </w:r>
    </w:p>
    <w:p w:rsidR="00000000" w:rsidDel="00000000" w:rsidP="00000000" w:rsidRDefault="00000000" w:rsidRPr="00000000" w14:paraId="0000004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